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Garamond" w:hAnsi="Garamond"/>
          <w:sz w:val="28"/>
          <w:szCs w:val="28"/>
        </w:rPr>
      </w:pPr>
      <w:r>
        <w:rPr>
          <w:rFonts w:ascii="Garamond" w:hAnsi="Garamond"/>
          <w:b/>
          <w:bCs/>
          <w:sz w:val="28"/>
          <w:szCs w:val="28"/>
        </w:rPr>
        <w:t>Oggetto:</w:t>
      </w:r>
      <w:r>
        <w:rPr>
          <w:rFonts w:ascii="Garamond" w:hAnsi="Garamond"/>
          <w:sz w:val="28"/>
          <w:szCs w:val="28"/>
        </w:rPr>
        <w:t xml:space="preserve"> Completamento Piano di caratterizzazione discarica loc. “Inviolata”.  DETERMINAZIONE CONCLUSIVA CONFERENZA DI SERVIZI IN FORMA SIMULTANEA SINCRONA, art. 14 bis c. 6/7 L. 241/1990. </w:t>
      </w:r>
      <w:r>
        <w:rPr>
          <w:rFonts w:ascii="Garamond" w:hAnsi="Garamond"/>
          <w:sz w:val="28"/>
          <w:szCs w:val="28"/>
        </w:rPr>
        <w:t xml:space="preserve">Precisazioni. </w:t>
      </w:r>
    </w:p>
    <w:p>
      <w:pPr>
        <w:pStyle w:val="Normal"/>
        <w:jc w:val="both"/>
        <w:rPr>
          <w:rFonts w:ascii="Garamond" w:hAnsi="Garamond"/>
          <w:b/>
          <w:b/>
          <w:bCs/>
          <w:sz w:val="28"/>
          <w:szCs w:val="28"/>
        </w:rPr>
      </w:pPr>
      <w:r>
        <w:rPr>
          <w:rFonts w:ascii="Garamond" w:hAnsi="Garamond"/>
          <w:b/>
          <w:bCs/>
          <w:sz w:val="28"/>
          <w:szCs w:val="28"/>
        </w:rPr>
        <w:t>Premesso che:</w:t>
      </w:r>
    </w:p>
    <w:p>
      <w:pPr>
        <w:pStyle w:val="ListParagraph"/>
        <w:numPr>
          <w:ilvl w:val="0"/>
          <w:numId w:val="1"/>
        </w:numPr>
        <w:jc w:val="both"/>
        <w:rPr>
          <w:rFonts w:ascii="Garamond" w:hAnsi="Garamond"/>
          <w:sz w:val="28"/>
          <w:szCs w:val="28"/>
        </w:rPr>
      </w:pPr>
      <w:r>
        <w:rPr>
          <w:rFonts w:ascii="Garamond" w:hAnsi="Garamond"/>
          <w:sz w:val="28"/>
          <w:szCs w:val="28"/>
        </w:rPr>
        <w:t>con atto di indizione del Responsabile del Procedimento prot. 80164 del 01/10/2020 è stata indetta la conferenza di servizi per l'approvazione del piano delle indagini propedeutico al completamento del piano di caratterizzazione della discarica denominata “l’inviolata”, al fine di ottenere da parte delle amministrazioni coinvolte nella realizzazione dell’intervento le intese, i pareri, le concessioni, le autorizzazioni, le licenze, i nulla osta e gli assensi comunque denominati richiesti dalla normativa vigente;</w:t>
      </w:r>
    </w:p>
    <w:p>
      <w:pPr>
        <w:pStyle w:val="ListParagraph"/>
        <w:numPr>
          <w:ilvl w:val="0"/>
          <w:numId w:val="1"/>
        </w:numPr>
        <w:jc w:val="both"/>
        <w:rPr>
          <w:rFonts w:ascii="Garamond" w:hAnsi="Garamond"/>
          <w:sz w:val="28"/>
          <w:szCs w:val="28"/>
        </w:rPr>
      </w:pPr>
      <w:r>
        <w:rPr>
          <w:rFonts w:ascii="Garamond" w:hAnsi="Garamond"/>
          <w:sz w:val="28"/>
          <w:szCs w:val="28"/>
        </w:rPr>
        <w:t>il Proponente è la società Eco Italia 87 Srl;</w:t>
      </w:r>
    </w:p>
    <w:p>
      <w:pPr>
        <w:pStyle w:val="ListParagraph"/>
        <w:numPr>
          <w:ilvl w:val="0"/>
          <w:numId w:val="1"/>
        </w:numPr>
        <w:jc w:val="both"/>
        <w:rPr>
          <w:rFonts w:ascii="Garamond" w:hAnsi="Garamond"/>
          <w:sz w:val="28"/>
          <w:szCs w:val="28"/>
        </w:rPr>
      </w:pPr>
      <w:r>
        <w:rPr>
          <w:rFonts w:ascii="Garamond" w:hAnsi="Garamond"/>
          <w:sz w:val="28"/>
          <w:szCs w:val="28"/>
        </w:rPr>
        <w:t>le Autorità competenti individuate dal Responsabile del Procedimento, arch. Egidio Santamaria sono:</w:t>
      </w:r>
    </w:p>
    <w:p>
      <w:pPr>
        <w:pStyle w:val="ListParagraph"/>
        <w:jc w:val="both"/>
        <w:rPr>
          <w:rFonts w:ascii="Garamond" w:hAnsi="Garamond"/>
          <w:sz w:val="28"/>
          <w:szCs w:val="28"/>
        </w:rPr>
      </w:pPr>
      <w:r>
        <w:rPr>
          <w:rFonts w:ascii="Garamond" w:hAnsi="Garamond"/>
          <w:sz w:val="28"/>
          <w:szCs w:val="28"/>
        </w:rPr>
      </w:r>
    </w:p>
    <w:p>
      <w:pPr>
        <w:pStyle w:val="ListParagraph"/>
        <w:numPr>
          <w:ilvl w:val="0"/>
          <w:numId w:val="2"/>
        </w:numPr>
        <w:jc w:val="both"/>
        <w:rPr>
          <w:rFonts w:ascii="Garamond" w:hAnsi="Garamond"/>
          <w:sz w:val="28"/>
          <w:szCs w:val="28"/>
        </w:rPr>
      </w:pPr>
      <w:r>
        <w:rPr>
          <w:rFonts w:ascii="Garamond" w:hAnsi="Garamond"/>
          <w:sz w:val="28"/>
          <w:szCs w:val="28"/>
        </w:rPr>
        <w:t>Regione Lazio, Direzione Regionale Politiche Ambientali e ciclo integrato Rifiuti;</w:t>
      </w:r>
    </w:p>
    <w:p>
      <w:pPr>
        <w:pStyle w:val="ListParagraph"/>
        <w:numPr>
          <w:ilvl w:val="0"/>
          <w:numId w:val="2"/>
        </w:numPr>
        <w:jc w:val="both"/>
        <w:rPr>
          <w:rFonts w:ascii="Garamond" w:hAnsi="Garamond"/>
          <w:sz w:val="28"/>
          <w:szCs w:val="28"/>
        </w:rPr>
      </w:pPr>
      <w:r>
        <w:rPr>
          <w:rFonts w:ascii="Garamond" w:hAnsi="Garamond"/>
          <w:sz w:val="28"/>
          <w:szCs w:val="28"/>
        </w:rPr>
        <w:t>Città Metropolitana di Roma Capitale, Dipartimento IV, gestione rifiuti;</w:t>
      </w:r>
    </w:p>
    <w:p>
      <w:pPr>
        <w:pStyle w:val="ListParagraph"/>
        <w:numPr>
          <w:ilvl w:val="0"/>
          <w:numId w:val="2"/>
        </w:numPr>
        <w:jc w:val="both"/>
        <w:rPr>
          <w:rFonts w:ascii="Garamond" w:hAnsi="Garamond"/>
          <w:sz w:val="28"/>
          <w:szCs w:val="28"/>
        </w:rPr>
      </w:pPr>
      <w:r>
        <w:rPr>
          <w:rFonts w:ascii="Garamond" w:hAnsi="Garamond"/>
          <w:sz w:val="28"/>
          <w:szCs w:val="28"/>
        </w:rPr>
        <w:t>Arpa Lazio;</w:t>
      </w:r>
    </w:p>
    <w:p>
      <w:pPr>
        <w:pStyle w:val="ListParagraph"/>
        <w:numPr>
          <w:ilvl w:val="0"/>
          <w:numId w:val="2"/>
        </w:numPr>
        <w:jc w:val="both"/>
        <w:rPr>
          <w:rFonts w:ascii="Garamond" w:hAnsi="Garamond"/>
          <w:sz w:val="28"/>
          <w:szCs w:val="28"/>
        </w:rPr>
      </w:pPr>
      <w:r>
        <w:rPr>
          <w:rFonts w:ascii="Garamond" w:hAnsi="Garamond"/>
          <w:sz w:val="28"/>
          <w:szCs w:val="28"/>
        </w:rPr>
        <w:t>ASL Roma G;</w:t>
      </w:r>
    </w:p>
    <w:p>
      <w:pPr>
        <w:pStyle w:val="ListParagraph"/>
        <w:numPr>
          <w:ilvl w:val="0"/>
          <w:numId w:val="2"/>
        </w:numPr>
        <w:jc w:val="both"/>
        <w:rPr>
          <w:rFonts w:ascii="Garamond" w:hAnsi="Garamond"/>
          <w:sz w:val="28"/>
          <w:szCs w:val="28"/>
        </w:rPr>
      </w:pPr>
      <w:r>
        <w:rPr>
          <w:rFonts w:ascii="Garamond" w:hAnsi="Garamond"/>
          <w:sz w:val="28"/>
          <w:szCs w:val="28"/>
        </w:rPr>
        <w:t>Soprintendenza per i beni architettonici e Paesaggistici e per i Beni Archeologici del Lazio, competente per territorio;</w:t>
      </w:r>
    </w:p>
    <w:p>
      <w:pPr>
        <w:pStyle w:val="ListParagraph"/>
        <w:numPr>
          <w:ilvl w:val="0"/>
          <w:numId w:val="2"/>
        </w:numPr>
        <w:jc w:val="both"/>
        <w:rPr>
          <w:rFonts w:ascii="Garamond" w:hAnsi="Garamond"/>
          <w:sz w:val="28"/>
          <w:szCs w:val="28"/>
        </w:rPr>
      </w:pPr>
      <w:r>
        <w:rPr>
          <w:rFonts w:ascii="Garamond" w:hAnsi="Garamond"/>
          <w:sz w:val="28"/>
          <w:szCs w:val="28"/>
        </w:rPr>
        <w:t>Autorità di bacino del Tevere;</w:t>
      </w:r>
    </w:p>
    <w:p>
      <w:pPr>
        <w:pStyle w:val="ListParagraph"/>
        <w:numPr>
          <w:ilvl w:val="0"/>
          <w:numId w:val="2"/>
        </w:numPr>
        <w:jc w:val="both"/>
        <w:rPr>
          <w:rFonts w:ascii="Garamond" w:hAnsi="Garamond"/>
          <w:sz w:val="28"/>
          <w:szCs w:val="28"/>
        </w:rPr>
      </w:pPr>
      <w:r>
        <w:rPr>
          <w:rFonts w:ascii="Garamond" w:hAnsi="Garamond"/>
          <w:sz w:val="28"/>
          <w:szCs w:val="28"/>
        </w:rPr>
        <w:t>Area IV – Urbanistica del Comune di Guidonia Montecelio (RM);</w:t>
      </w:r>
    </w:p>
    <w:p>
      <w:pPr>
        <w:pStyle w:val="ListParagraph"/>
        <w:numPr>
          <w:ilvl w:val="0"/>
          <w:numId w:val="2"/>
        </w:numPr>
        <w:jc w:val="both"/>
        <w:rPr>
          <w:rFonts w:ascii="Garamond" w:hAnsi="Garamond"/>
          <w:sz w:val="28"/>
          <w:szCs w:val="28"/>
        </w:rPr>
      </w:pPr>
      <w:r>
        <w:rPr>
          <w:rFonts w:ascii="Garamond" w:hAnsi="Garamond"/>
          <w:sz w:val="28"/>
          <w:szCs w:val="28"/>
        </w:rPr>
        <w:t>Ente Parco Naturale Regionale dei Monti Lucretil</w:t>
      </w:r>
      <w:bookmarkStart w:id="0" w:name="_GoBack"/>
      <w:bookmarkEnd w:id="0"/>
      <w:r>
        <w:rPr>
          <w:rFonts w:ascii="Garamond" w:hAnsi="Garamond"/>
          <w:sz w:val="28"/>
          <w:szCs w:val="28"/>
        </w:rPr>
        <w:t>i;</w:t>
      </w:r>
    </w:p>
    <w:p>
      <w:pPr>
        <w:pStyle w:val="ListParagraph"/>
        <w:ind w:left="1080" w:hanging="0"/>
        <w:jc w:val="both"/>
        <w:rPr>
          <w:rFonts w:ascii="Garamond" w:hAnsi="Garamond"/>
          <w:sz w:val="28"/>
          <w:szCs w:val="28"/>
        </w:rPr>
      </w:pPr>
      <w:r>
        <w:rPr>
          <w:rFonts w:ascii="Garamond" w:hAnsi="Garamond"/>
          <w:sz w:val="28"/>
          <w:szCs w:val="28"/>
        </w:rPr>
      </w:r>
    </w:p>
    <w:p>
      <w:pPr>
        <w:pStyle w:val="ListParagraph"/>
        <w:numPr>
          <w:ilvl w:val="0"/>
          <w:numId w:val="1"/>
        </w:numPr>
        <w:jc w:val="both"/>
        <w:rPr>
          <w:rFonts w:ascii="Garamond" w:hAnsi="Garamond"/>
          <w:sz w:val="28"/>
          <w:szCs w:val="28"/>
        </w:rPr>
      </w:pPr>
      <w:r>
        <w:rPr>
          <w:rFonts w:ascii="Garamond" w:hAnsi="Garamond"/>
          <w:sz w:val="28"/>
          <w:szCs w:val="28"/>
        </w:rPr>
        <w:t>l’Area IV – Urbanistica del Comune di Guidonia Montecelio (RM) e l’Autorità di Bacino del Tevere non hanno partecipato alla conferenza di Servizi Semplificata Simultanea Sincrona, regolarmente indetta dall’Area VI del Comune di Guidonia Montecelio.</w:t>
      </w:r>
    </w:p>
    <w:p>
      <w:pPr>
        <w:pStyle w:val="Normal"/>
        <w:jc w:val="both"/>
        <w:rPr>
          <w:rFonts w:ascii="Garamond" w:hAnsi="Garamond"/>
          <w:b/>
          <w:b/>
          <w:bCs/>
          <w:sz w:val="28"/>
          <w:szCs w:val="28"/>
        </w:rPr>
      </w:pPr>
      <w:r>
        <w:rPr>
          <w:rFonts w:ascii="Garamond" w:hAnsi="Garamond"/>
          <w:b/>
          <w:bCs/>
          <w:sz w:val="28"/>
          <w:szCs w:val="28"/>
        </w:rPr>
        <w:t xml:space="preserve">Preso atto </w:t>
      </w:r>
      <w:r>
        <w:rPr>
          <w:rFonts w:ascii="Garamond" w:hAnsi="Garamond"/>
          <w:sz w:val="28"/>
          <w:szCs w:val="28"/>
        </w:rPr>
        <w:t xml:space="preserve">dei verbali della conferenza di servizi e nel merito l’ultimo del 20 aprile 2021, nel quale tutte le autorità competenti presenti, hanno espresso il proprio parere favorevole con prescrizioni; </w:t>
      </w:r>
    </w:p>
    <w:p>
      <w:pPr>
        <w:pStyle w:val="Normal"/>
        <w:jc w:val="both"/>
        <w:rPr>
          <w:rFonts w:ascii="Garamond" w:hAnsi="Garamond"/>
          <w:sz w:val="28"/>
          <w:szCs w:val="28"/>
        </w:rPr>
      </w:pPr>
      <w:r>
        <w:rPr>
          <w:rFonts w:ascii="Garamond" w:hAnsi="Garamond"/>
          <w:b/>
          <w:bCs/>
          <w:sz w:val="28"/>
          <w:szCs w:val="28"/>
        </w:rPr>
        <w:t>Dato atto che</w:t>
      </w:r>
      <w:r>
        <w:rPr>
          <w:rFonts w:ascii="Garamond" w:hAnsi="Garamond"/>
          <w:sz w:val="28"/>
          <w:szCs w:val="28"/>
        </w:rPr>
        <w:t xml:space="preserve"> i partecipanti hanno espresso parere positivo all'intervento con prescrizioni che, comunque, non comportano modifiche sostanziali al progetto di indagine, comunicando altresì, all’autorità procedente il loro successivo parere favorevole reso in forma scritta, con prescrizioni; </w:t>
      </w:r>
    </w:p>
    <w:p>
      <w:pPr>
        <w:pStyle w:val="Normal"/>
        <w:jc w:val="both"/>
        <w:rPr>
          <w:rFonts w:ascii="Garamond" w:hAnsi="Garamond"/>
          <w:b/>
          <w:b/>
          <w:bCs/>
          <w:sz w:val="28"/>
          <w:szCs w:val="28"/>
        </w:rPr>
      </w:pPr>
      <w:r>
        <w:rPr>
          <w:rFonts w:ascii="Garamond" w:hAnsi="Garamond"/>
          <w:b/>
          <w:bCs/>
          <w:sz w:val="28"/>
          <w:szCs w:val="28"/>
        </w:rPr>
        <w:t>Dato atto che</w:t>
      </w:r>
      <w:r>
        <w:rPr>
          <w:rFonts w:ascii="Garamond" w:hAnsi="Garamond"/>
          <w:sz w:val="28"/>
          <w:szCs w:val="28"/>
        </w:rPr>
        <w:t xml:space="preserve"> la</w:t>
      </w:r>
      <w:r>
        <w:rPr>
          <w:rFonts w:ascii="Garamond" w:hAnsi="Garamond"/>
          <w:b/>
          <w:bCs/>
          <w:sz w:val="28"/>
          <w:szCs w:val="28"/>
        </w:rPr>
        <w:t xml:space="preserve"> </w:t>
      </w:r>
      <w:r>
        <w:rPr>
          <w:rFonts w:ascii="Garamond" w:hAnsi="Garamond"/>
          <w:sz w:val="28"/>
          <w:szCs w:val="28"/>
        </w:rPr>
        <w:t>Soprintendenza per i beni archeologici e paesaggistici, ha reso il proprio parere favorevole con prescrizione, rilevabile dal medesimo verbale, del 20 aprile 2021, allegato agli atti della conferenza di servizi e nel merito prima delle perforazioni devono essere espletate le indagini archeologiche con la supervisione di un archeologo, il cui curriculum e il progetto dovrà essere sottoposto, dal medesimo archeologo, preventivamente all’approvazione del soprintendente Archeologo competente per Territorio (tutte le spese sono a carico del proponente la conferenza di servizi);</w:t>
      </w:r>
    </w:p>
    <w:p>
      <w:pPr>
        <w:pStyle w:val="Normal"/>
        <w:jc w:val="both"/>
        <w:rPr>
          <w:rFonts w:ascii="Garamond" w:hAnsi="Garamond"/>
          <w:sz w:val="28"/>
          <w:szCs w:val="28"/>
        </w:rPr>
      </w:pPr>
      <w:r>
        <w:rPr>
          <w:rFonts w:ascii="Garamond" w:hAnsi="Garamond"/>
          <w:b/>
          <w:bCs/>
          <w:sz w:val="28"/>
          <w:szCs w:val="28"/>
        </w:rPr>
        <w:t>Preso atto</w:t>
      </w:r>
      <w:r>
        <w:rPr>
          <w:rFonts w:ascii="Garamond" w:hAnsi="Garamond"/>
          <w:sz w:val="28"/>
          <w:szCs w:val="28"/>
        </w:rPr>
        <w:t xml:space="preserve"> dell’accettazione delle conclusioni della conferenza di Servizi, da parte di “Ecoitalia 87 Srl”, proponente, rilevabile dal verbale del 20 aprile 2021; </w:t>
      </w:r>
    </w:p>
    <w:p>
      <w:pPr>
        <w:pStyle w:val="Normal"/>
        <w:jc w:val="both"/>
        <w:rPr>
          <w:rFonts w:ascii="Garamond" w:hAnsi="Garamond"/>
          <w:sz w:val="28"/>
          <w:szCs w:val="28"/>
        </w:rPr>
      </w:pPr>
      <w:r>
        <w:rPr>
          <w:rFonts w:ascii="Garamond" w:hAnsi="Garamond"/>
          <w:b/>
          <w:bCs/>
          <w:sz w:val="28"/>
          <w:szCs w:val="28"/>
        </w:rPr>
        <w:t>Visti</w:t>
      </w:r>
      <w:r>
        <w:rPr>
          <w:rFonts w:ascii="Garamond" w:hAnsi="Garamond"/>
          <w:sz w:val="28"/>
          <w:szCs w:val="28"/>
        </w:rPr>
        <w:t xml:space="preserve"> gli artt. 4 e 17 del D. Lgs 165/2001; </w:t>
      </w:r>
    </w:p>
    <w:p>
      <w:pPr>
        <w:pStyle w:val="Normal"/>
        <w:jc w:val="both"/>
        <w:rPr>
          <w:rFonts w:ascii="Garamond" w:hAnsi="Garamond"/>
          <w:sz w:val="28"/>
          <w:szCs w:val="28"/>
        </w:rPr>
      </w:pPr>
      <w:r>
        <w:rPr>
          <w:rFonts w:ascii="Garamond" w:hAnsi="Garamond"/>
          <w:b/>
          <w:bCs/>
          <w:sz w:val="28"/>
          <w:szCs w:val="28"/>
        </w:rPr>
        <w:t>Visti</w:t>
      </w:r>
      <w:r>
        <w:rPr>
          <w:rFonts w:ascii="Garamond" w:hAnsi="Garamond"/>
          <w:sz w:val="28"/>
          <w:szCs w:val="28"/>
        </w:rPr>
        <w:t xml:space="preserve"> gli artt. 107 e 183 del D. Lgs. 267/2000; </w:t>
      </w:r>
    </w:p>
    <w:p>
      <w:pPr>
        <w:pStyle w:val="Normal"/>
        <w:jc w:val="both"/>
        <w:rPr>
          <w:rFonts w:ascii="Garamond" w:hAnsi="Garamond"/>
          <w:sz w:val="28"/>
          <w:szCs w:val="28"/>
        </w:rPr>
      </w:pPr>
      <w:r>
        <w:rPr>
          <w:rFonts w:ascii="Garamond" w:hAnsi="Garamond"/>
          <w:b/>
          <w:bCs/>
          <w:sz w:val="28"/>
          <w:szCs w:val="28"/>
        </w:rPr>
        <w:t>Ritenuto che</w:t>
      </w:r>
      <w:r>
        <w:rPr>
          <w:rFonts w:ascii="Garamond" w:hAnsi="Garamond"/>
          <w:sz w:val="28"/>
          <w:szCs w:val="28"/>
        </w:rPr>
        <w:t xml:space="preserve"> l’istruttoria preordinata alla emanazione del presente atto consenta di attestare la regolarità e la correttezza di quest’ultimo ai sensi e per gli effetti di quanto dispone l’art. 147 bis del D. Lgs. 267/2000 </w:t>
      </w:r>
    </w:p>
    <w:p>
      <w:pPr>
        <w:pStyle w:val="Normal"/>
        <w:jc w:val="both"/>
        <w:rPr>
          <w:rFonts w:ascii="Garamond" w:hAnsi="Garamond"/>
          <w:sz w:val="28"/>
          <w:szCs w:val="28"/>
        </w:rPr>
      </w:pPr>
      <w:r>
        <w:rPr>
          <w:rFonts w:ascii="Garamond" w:hAnsi="Garamond"/>
          <w:b/>
          <w:bCs/>
          <w:sz w:val="28"/>
          <w:szCs w:val="28"/>
        </w:rPr>
        <w:t>Dato atto</w:t>
      </w:r>
      <w:r>
        <w:rPr>
          <w:rFonts w:ascii="Garamond" w:hAnsi="Garamond"/>
          <w:sz w:val="28"/>
          <w:szCs w:val="28"/>
        </w:rPr>
        <w:t xml:space="preserve"> che il responsabile del Procedimento è l’arch. Egidio Santamaria, Dirigente dell’Area VI “Lavori Pubblici, Manutenzioni, ambiente e attività estrattive;</w:t>
      </w:r>
    </w:p>
    <w:p>
      <w:pPr>
        <w:pStyle w:val="Normal"/>
        <w:jc w:val="both"/>
        <w:rPr>
          <w:rFonts w:ascii="Garamond" w:hAnsi="Garamond"/>
          <w:b/>
          <w:b/>
          <w:bCs/>
          <w:sz w:val="28"/>
          <w:szCs w:val="28"/>
        </w:rPr>
      </w:pPr>
      <w:r>
        <w:rPr>
          <w:rFonts w:ascii="Garamond" w:hAnsi="Garamond"/>
          <w:b/>
          <w:bCs/>
          <w:sz w:val="28"/>
          <w:szCs w:val="28"/>
        </w:rPr>
        <w:t>Vista/i:</w:t>
      </w:r>
    </w:p>
    <w:p>
      <w:pPr>
        <w:pStyle w:val="ListParagraph"/>
        <w:numPr>
          <w:ilvl w:val="0"/>
          <w:numId w:val="1"/>
        </w:numPr>
        <w:jc w:val="both"/>
        <w:rPr>
          <w:rFonts w:ascii="Garamond" w:hAnsi="Garamond"/>
          <w:sz w:val="28"/>
          <w:szCs w:val="28"/>
        </w:rPr>
      </w:pPr>
      <w:r>
        <w:rPr>
          <w:rFonts w:ascii="Garamond" w:hAnsi="Garamond"/>
          <w:sz w:val="28"/>
          <w:szCs w:val="28"/>
        </w:rPr>
        <w:t>la Legge n. 241/1990 e ss.mm.ii;</w:t>
      </w:r>
    </w:p>
    <w:p>
      <w:pPr>
        <w:pStyle w:val="ListParagraph"/>
        <w:numPr>
          <w:ilvl w:val="0"/>
          <w:numId w:val="1"/>
        </w:numPr>
        <w:jc w:val="both"/>
        <w:rPr>
          <w:rFonts w:ascii="Garamond" w:hAnsi="Garamond"/>
          <w:sz w:val="28"/>
          <w:szCs w:val="28"/>
        </w:rPr>
      </w:pPr>
      <w:r>
        <w:rPr>
          <w:rFonts w:ascii="Garamond" w:hAnsi="Garamond"/>
          <w:sz w:val="28"/>
          <w:szCs w:val="28"/>
        </w:rPr>
        <w:t xml:space="preserve">gli articoli 14 e seguenti della legge 241/1990, come modificata dal D.Lgs. n. 127 del 30 giugno 2016 ed in particolare: </w:t>
      </w:r>
    </w:p>
    <w:p>
      <w:pPr>
        <w:pStyle w:val="ListParagraph"/>
        <w:jc w:val="both"/>
        <w:rPr>
          <w:rFonts w:ascii="Garamond" w:hAnsi="Garamond"/>
          <w:sz w:val="28"/>
          <w:szCs w:val="28"/>
        </w:rPr>
      </w:pPr>
      <w:r>
        <w:rPr>
          <w:rFonts w:ascii="Garamond" w:hAnsi="Garamond"/>
          <w:sz w:val="28"/>
          <w:szCs w:val="28"/>
        </w:rPr>
        <w:t>. il comma 7 dell’art. 14 bis della legge 241/1990 e s.m.i, ai sensi del quale “Ove necessario, in relazione alla particolare complessità della determinazione da assumere, l'amministrazione procedente può comunque procedere direttamente in forma simultanea e in modalità sincrona, ai sensi dell'articolo 14-ter.”;</w:t>
      </w:r>
    </w:p>
    <w:p>
      <w:pPr>
        <w:pStyle w:val="ListParagraph"/>
        <w:jc w:val="both"/>
        <w:rPr>
          <w:rFonts w:ascii="Garamond" w:hAnsi="Garamond"/>
          <w:sz w:val="28"/>
          <w:szCs w:val="28"/>
        </w:rPr>
      </w:pPr>
      <w:r>
        <w:rPr>
          <w:rFonts w:ascii="Garamond" w:hAnsi="Garamond"/>
          <w:sz w:val="28"/>
          <w:szCs w:val="28"/>
        </w:rPr>
        <w:t>.il comma 2 dell’art. 14 ter della legge 241/1990 e s.m.i, ai sensi del quale “I lavori della conferenza si concludono non oltre quarantacinque giorni decorrenti dalla data della riunione di cui al comma 1. Nei casi di cui all'articolo 14-bis, comma 7, qualora siano coinvolte amministrazioni preposte alla tutela ambientale, paesaggistico-territoriale, dei beni culturali e della salute dei cittadini, il termine è fissato in novanta giorni. Resta fermo l'obbligo di rispettare il termine finale di conclusione del procedimento.”;</w:t>
      </w:r>
    </w:p>
    <w:p>
      <w:pPr>
        <w:pStyle w:val="ListParagraph"/>
        <w:numPr>
          <w:ilvl w:val="0"/>
          <w:numId w:val="1"/>
        </w:numPr>
        <w:jc w:val="both"/>
        <w:rPr>
          <w:rFonts w:ascii="Garamond" w:hAnsi="Garamond"/>
          <w:sz w:val="28"/>
          <w:szCs w:val="28"/>
        </w:rPr>
      </w:pPr>
      <w:r>
        <w:rPr>
          <w:rFonts w:ascii="Garamond" w:hAnsi="Garamond"/>
          <w:sz w:val="28"/>
          <w:szCs w:val="28"/>
        </w:rPr>
        <w:t>l’art. 242 e seguenti del d.lgs. n. 152/2006 “procedure operative e amministrative”;</w:t>
      </w:r>
    </w:p>
    <w:p>
      <w:pPr>
        <w:pStyle w:val="ListParagraph"/>
        <w:numPr>
          <w:ilvl w:val="0"/>
          <w:numId w:val="1"/>
        </w:numPr>
        <w:jc w:val="both"/>
        <w:rPr>
          <w:rFonts w:ascii="Garamond" w:hAnsi="Garamond"/>
          <w:sz w:val="28"/>
          <w:szCs w:val="28"/>
        </w:rPr>
      </w:pPr>
      <w:r>
        <w:rPr>
          <w:rFonts w:ascii="Garamond" w:hAnsi="Garamond"/>
          <w:sz w:val="28"/>
          <w:szCs w:val="28"/>
        </w:rPr>
        <w:t>l’art. 27 del d.lgs. n. 50/2016 “procedure di approvazione dei progetti relativi ai lavori”;</w:t>
      </w:r>
    </w:p>
    <w:p>
      <w:pPr>
        <w:pStyle w:val="ListParagraph"/>
        <w:numPr>
          <w:ilvl w:val="0"/>
          <w:numId w:val="1"/>
        </w:numPr>
        <w:jc w:val="both"/>
        <w:rPr>
          <w:rFonts w:ascii="Garamond" w:hAnsi="Garamond"/>
          <w:sz w:val="28"/>
          <w:szCs w:val="28"/>
        </w:rPr>
      </w:pPr>
      <w:r>
        <w:rPr>
          <w:rFonts w:ascii="Garamond" w:hAnsi="Garamond"/>
          <w:sz w:val="28"/>
          <w:szCs w:val="28"/>
        </w:rPr>
        <w:t>l’art. 6 del DPR 380/2001 “attività edilizia libera”</w:t>
      </w:r>
    </w:p>
    <w:p>
      <w:pPr>
        <w:pStyle w:val="ListParagraph"/>
        <w:numPr>
          <w:ilvl w:val="0"/>
          <w:numId w:val="1"/>
        </w:numPr>
        <w:jc w:val="both"/>
        <w:rPr>
          <w:rFonts w:ascii="Garamond" w:hAnsi="Garamond"/>
          <w:sz w:val="28"/>
          <w:szCs w:val="28"/>
        </w:rPr>
      </w:pPr>
      <w:r>
        <w:rPr>
          <w:rFonts w:ascii="Garamond" w:hAnsi="Garamond"/>
          <w:sz w:val="28"/>
          <w:szCs w:val="28"/>
        </w:rPr>
        <w:t xml:space="preserve">Il Decreto del Sindaco reg. n. 15 del 27 aprile 2021 “Conferimento incarico dirigenziale Area VI' Lavori Pubblici, Ambiente, Attività estrattive” a favore del sottoscritto arch. Egidio Santamaria. </w:t>
      </w:r>
    </w:p>
    <w:p>
      <w:pPr>
        <w:pStyle w:val="Normal"/>
        <w:jc w:val="both"/>
        <w:rPr>
          <w:rFonts w:ascii="Garamond" w:hAnsi="Garamond"/>
          <w:sz w:val="28"/>
          <w:szCs w:val="28"/>
        </w:rPr>
      </w:pPr>
      <w:r>
        <w:rPr>
          <w:rFonts w:ascii="Garamond" w:hAnsi="Garamond"/>
          <w:b/>
          <w:bCs/>
          <w:sz w:val="28"/>
          <w:szCs w:val="28"/>
        </w:rPr>
        <w:t>Acclarata</w:t>
      </w:r>
      <w:r>
        <w:rPr>
          <w:rFonts w:ascii="Garamond" w:hAnsi="Garamond"/>
          <w:sz w:val="28"/>
          <w:szCs w:val="28"/>
        </w:rPr>
        <w:t xml:space="preserve"> la dichiarazione di pubblico interesse ambientale e igienico sanitario;</w:t>
      </w:r>
    </w:p>
    <w:p>
      <w:pPr>
        <w:pStyle w:val="Normal"/>
        <w:jc w:val="both"/>
        <w:rPr/>
      </w:pPr>
      <w:r>
        <w:rPr>
          <w:rFonts w:ascii="Garamond" w:hAnsi="Garamond"/>
          <w:b/>
          <w:bCs/>
          <w:sz w:val="28"/>
          <w:szCs w:val="28"/>
        </w:rPr>
        <w:t>Richiamata</w:t>
      </w:r>
      <w:r>
        <w:rPr>
          <w:rFonts w:ascii="Garamond" w:hAnsi="Garamond"/>
          <w:sz w:val="28"/>
          <w:szCs w:val="28"/>
        </w:rPr>
        <w:t xml:space="preserve"> la Determina Dirigenziale n. </w:t>
      </w:r>
      <w:r>
        <w:rPr>
          <w:rFonts w:ascii="Garamond" w:hAnsi="Garamond"/>
          <w:sz w:val="28"/>
          <w:szCs w:val="28"/>
        </w:rPr>
        <w:t>97 del 3 maggio 2021 avente ad oggetto  “CompletamentoPianodicaratterizzazionediscaricaloc."Inviolata"</w:t>
      </w:r>
      <w:r>
        <w:rPr>
          <w:rFonts w:ascii="Garamond" w:hAnsi="Garamond"/>
          <w:sz w:val="24"/>
          <w:szCs w:val="24"/>
        </w:rPr>
        <w:t xml:space="preserve">.DETERMINAZIONE CONCLUSIVA CONFERENZA DI SERVIZI IN FORMA SIMULTANEA SINCRONA, art.14bisc. 6/7 L.241/1990”. </w:t>
      </w:r>
    </w:p>
    <w:p>
      <w:pPr>
        <w:pStyle w:val="Normal"/>
        <w:jc w:val="center"/>
        <w:rPr>
          <w:rFonts w:ascii="Garamond" w:hAnsi="Garamond"/>
          <w:b/>
          <w:b/>
          <w:bCs/>
          <w:sz w:val="28"/>
          <w:szCs w:val="28"/>
        </w:rPr>
      </w:pPr>
      <w:r>
        <w:rPr>
          <w:rFonts w:ascii="Garamond" w:hAnsi="Garamond"/>
          <w:b/>
          <w:bCs/>
          <w:sz w:val="28"/>
          <w:szCs w:val="28"/>
        </w:rPr>
        <w:t>DETERMINA</w:t>
      </w:r>
    </w:p>
    <w:p>
      <w:pPr>
        <w:pStyle w:val="Normal"/>
        <w:jc w:val="both"/>
        <w:rPr>
          <w:rFonts w:ascii="Garamond" w:hAnsi="Garamond"/>
          <w:sz w:val="28"/>
          <w:szCs w:val="28"/>
        </w:rPr>
      </w:pPr>
      <w:r>
        <w:rPr>
          <w:rFonts w:ascii="Garamond" w:hAnsi="Garamond"/>
          <w:b/>
          <w:bCs/>
          <w:sz w:val="28"/>
          <w:szCs w:val="28"/>
        </w:rPr>
        <w:t xml:space="preserve">Di rendere </w:t>
      </w:r>
      <w:r>
        <w:rPr>
          <w:rFonts w:ascii="Garamond" w:hAnsi="Garamond"/>
          <w:sz w:val="28"/>
          <w:szCs w:val="28"/>
        </w:rPr>
        <w:t>la premessa narrativa parte integrante e sostanziale del presente provvedimento, intendendosi qui integralmente richiamata;</w:t>
      </w:r>
    </w:p>
    <w:p>
      <w:pPr>
        <w:pStyle w:val="Normal"/>
        <w:jc w:val="both"/>
        <w:rPr>
          <w:rFonts w:ascii="Garamond" w:hAnsi="Garamond"/>
          <w:sz w:val="28"/>
          <w:szCs w:val="28"/>
        </w:rPr>
      </w:pPr>
      <w:r>
        <w:rPr>
          <w:rFonts w:ascii="Garamond" w:hAnsi="Garamond"/>
          <w:b/>
          <w:bCs/>
          <w:sz w:val="28"/>
          <w:szCs w:val="28"/>
        </w:rPr>
        <w:t xml:space="preserve">di approvare </w:t>
      </w:r>
      <w:r>
        <w:rPr>
          <w:rFonts w:ascii="Garamond" w:hAnsi="Garamond"/>
          <w:bCs/>
          <w:sz w:val="28"/>
          <w:szCs w:val="28"/>
        </w:rPr>
        <w:t>i</w:t>
      </w:r>
      <w:r>
        <w:rPr>
          <w:rFonts w:ascii="Garamond" w:hAnsi="Garamond"/>
          <w:sz w:val="28"/>
          <w:szCs w:val="28"/>
        </w:rPr>
        <w:t xml:space="preserve"> verbali della conferenza di servizi, agli atti d’Ufficio, per l'approvazione del progetto di indagini di cui trattasi, che forma parte integrante del presente provvedimento e che consiste nell’ubicazione di n. 11 nuove stazioni di controllo (PC1 – PC11), in ottemperanza alle prescrizioni degli Enti partecipanti, previo espletamento delle indagini archeologiche;</w:t>
      </w:r>
    </w:p>
    <w:p>
      <w:pPr>
        <w:pStyle w:val="Normal"/>
        <w:jc w:val="both"/>
        <w:rPr>
          <w:rFonts w:ascii="Garamond" w:hAnsi="Garamond"/>
          <w:sz w:val="28"/>
          <w:szCs w:val="28"/>
        </w:rPr>
      </w:pPr>
      <w:r>
        <w:rPr>
          <w:rFonts w:ascii="Garamond" w:hAnsi="Garamond"/>
          <w:b/>
          <w:bCs/>
          <w:sz w:val="28"/>
          <w:szCs w:val="28"/>
        </w:rPr>
        <w:t>di prendere atto</w:t>
      </w:r>
      <w:r>
        <w:rPr>
          <w:rFonts w:ascii="Garamond" w:hAnsi="Garamond"/>
          <w:sz w:val="28"/>
          <w:szCs w:val="28"/>
        </w:rPr>
        <w:t xml:space="preserve"> dei pareri resi dalle Autorità competenti, allegati alla presente e contenti le seguenti prescrizioni:</w:t>
      </w:r>
    </w:p>
    <w:p>
      <w:pPr>
        <w:pStyle w:val="ListParagraph"/>
        <w:numPr>
          <w:ilvl w:val="0"/>
          <w:numId w:val="3"/>
        </w:numPr>
        <w:jc w:val="both"/>
        <w:rPr>
          <w:rFonts w:ascii="Garamond" w:hAnsi="Garamond"/>
          <w:sz w:val="28"/>
          <w:szCs w:val="28"/>
        </w:rPr>
      </w:pPr>
      <w:r>
        <w:rPr>
          <w:rFonts w:ascii="Garamond" w:hAnsi="Garamond"/>
          <w:b/>
          <w:sz w:val="28"/>
          <w:szCs w:val="28"/>
        </w:rPr>
        <w:t>Parere Arpa Lazio, prot. n. 33994 del 12 aprile 2021</w:t>
      </w:r>
      <w:r>
        <w:rPr>
          <w:rFonts w:ascii="Garamond" w:hAnsi="Garamond"/>
          <w:sz w:val="28"/>
          <w:szCs w:val="28"/>
        </w:rPr>
        <w:t xml:space="preserve">: </w:t>
      </w:r>
    </w:p>
    <w:p>
      <w:pPr>
        <w:pStyle w:val="ListParagraph"/>
        <w:numPr>
          <w:ilvl w:val="0"/>
          <w:numId w:val="1"/>
        </w:numPr>
        <w:jc w:val="both"/>
        <w:rPr>
          <w:rFonts w:ascii="Garamond" w:hAnsi="Garamond"/>
          <w:sz w:val="28"/>
          <w:szCs w:val="28"/>
        </w:rPr>
      </w:pPr>
      <w:r>
        <w:rPr>
          <w:rFonts w:ascii="Garamond" w:hAnsi="Garamond"/>
          <w:sz w:val="28"/>
          <w:szCs w:val="28"/>
        </w:rPr>
        <w:t>realizzazione di tre postazioni aggiuntive (da PC9 a PC11) ad integrazioni delle 8 nuove stazioni di controllo/piezometri (da PC1 a PC8);</w:t>
      </w:r>
    </w:p>
    <w:p>
      <w:pPr>
        <w:pStyle w:val="ListParagraph"/>
        <w:numPr>
          <w:ilvl w:val="0"/>
          <w:numId w:val="1"/>
        </w:numPr>
        <w:jc w:val="both"/>
        <w:rPr>
          <w:rFonts w:ascii="Garamond" w:hAnsi="Garamond"/>
          <w:sz w:val="28"/>
          <w:szCs w:val="28"/>
        </w:rPr>
      </w:pPr>
      <w:r>
        <w:rPr>
          <w:rFonts w:ascii="Garamond" w:hAnsi="Garamond"/>
          <w:sz w:val="28"/>
          <w:szCs w:val="28"/>
        </w:rPr>
        <w:t>indagine sul grado e sull’estensione della contaminazione, individuazione delle possibili sorgenti di contaminazione, del relativo stato (attive, non attive, in sicurezza) e dei percorsi di migrazione dalle sorgenti di contaminazione ai bersagli individuati;</w:t>
      </w:r>
    </w:p>
    <w:p>
      <w:pPr>
        <w:pStyle w:val="ListParagraph"/>
        <w:numPr>
          <w:ilvl w:val="0"/>
          <w:numId w:val="1"/>
        </w:numPr>
        <w:jc w:val="both"/>
        <w:rPr>
          <w:rFonts w:ascii="Garamond" w:hAnsi="Garamond"/>
          <w:sz w:val="28"/>
          <w:szCs w:val="28"/>
        </w:rPr>
      </w:pPr>
      <w:r>
        <w:rPr>
          <w:rFonts w:ascii="Garamond" w:hAnsi="Garamond"/>
          <w:sz w:val="28"/>
          <w:szCs w:val="28"/>
        </w:rPr>
        <w:t>indagine sulle modalità di gestione adottate per i superamenti riscontrati nei terreni.</w:t>
      </w:r>
    </w:p>
    <w:p>
      <w:pPr>
        <w:pStyle w:val="ListParagraph"/>
        <w:numPr>
          <w:ilvl w:val="0"/>
          <w:numId w:val="3"/>
        </w:numPr>
        <w:jc w:val="both"/>
        <w:rPr>
          <w:rFonts w:ascii="Garamond" w:hAnsi="Garamond"/>
          <w:sz w:val="28"/>
          <w:szCs w:val="28"/>
        </w:rPr>
      </w:pPr>
      <w:r>
        <w:rPr>
          <w:rFonts w:ascii="Garamond" w:hAnsi="Garamond"/>
          <w:b/>
          <w:sz w:val="28"/>
          <w:szCs w:val="28"/>
        </w:rPr>
        <w:t>Parere Regione Lazio, prot. n. 37845 del 22 aprile 2021</w:t>
      </w:r>
      <w:r>
        <w:rPr>
          <w:rFonts w:ascii="Garamond" w:hAnsi="Garamond"/>
          <w:sz w:val="28"/>
          <w:szCs w:val="28"/>
        </w:rPr>
        <w:t>:</w:t>
      </w:r>
    </w:p>
    <w:p>
      <w:pPr>
        <w:pStyle w:val="ListParagraph"/>
        <w:numPr>
          <w:ilvl w:val="0"/>
          <w:numId w:val="1"/>
        </w:numPr>
        <w:jc w:val="both"/>
        <w:rPr>
          <w:rFonts w:ascii="Garamond" w:hAnsi="Garamond"/>
          <w:sz w:val="28"/>
          <w:szCs w:val="28"/>
        </w:rPr>
      </w:pPr>
      <w:r>
        <w:rPr>
          <w:rFonts w:ascii="Garamond" w:hAnsi="Garamond"/>
          <w:sz w:val="28"/>
          <w:szCs w:val="28"/>
        </w:rPr>
        <w:t>Effettuazioni di tutte le indagini in un’unica fase;</w:t>
      </w:r>
    </w:p>
    <w:p>
      <w:pPr>
        <w:pStyle w:val="ListParagraph"/>
        <w:numPr>
          <w:ilvl w:val="0"/>
          <w:numId w:val="1"/>
        </w:numPr>
        <w:jc w:val="both"/>
        <w:rPr>
          <w:rFonts w:ascii="Garamond" w:hAnsi="Garamond"/>
          <w:sz w:val="28"/>
          <w:szCs w:val="28"/>
        </w:rPr>
      </w:pPr>
      <w:r>
        <w:rPr>
          <w:rFonts w:ascii="Garamond" w:hAnsi="Garamond"/>
          <w:sz w:val="28"/>
          <w:szCs w:val="28"/>
        </w:rPr>
        <w:t>Introduzione, durante i lavori di perforazione, di un geologo che si occuperà di redigere, per ogni piezometro, un quaderno di campagna da allegare alle relazioni intermedie e/o finali che dovrà contenere le modalità di perforazione, le informazioni su eventuali perdite di fluido o altri inconvenienti verificatesi nel corso della perforazione, stratigrafia e caratteristiche dei terreni attraversati con indicazione della percentuale approssimativa di recupero, le principali caratteristiche costruttive del piezometro e le fotografie delle cassette catalogatrici con particolare attenzione del tipo di acquifero incontrato;</w:t>
      </w:r>
    </w:p>
    <w:p>
      <w:pPr>
        <w:pStyle w:val="ListParagraph"/>
        <w:numPr>
          <w:ilvl w:val="0"/>
          <w:numId w:val="3"/>
        </w:numPr>
        <w:jc w:val="both"/>
        <w:rPr>
          <w:rFonts w:ascii="Garamond" w:hAnsi="Garamond"/>
          <w:sz w:val="28"/>
          <w:szCs w:val="28"/>
        </w:rPr>
      </w:pPr>
      <w:r>
        <w:rPr>
          <w:rFonts w:ascii="Garamond" w:hAnsi="Garamond"/>
          <w:b/>
          <w:sz w:val="28"/>
          <w:szCs w:val="28"/>
        </w:rPr>
        <w:t xml:space="preserve">Parere ASL, prot. n. 37722 del 21 aprile 2021 </w:t>
      </w:r>
      <w:r>
        <w:rPr>
          <w:rFonts w:ascii="Garamond" w:hAnsi="Garamond"/>
          <w:sz w:val="28"/>
          <w:szCs w:val="28"/>
        </w:rPr>
        <w:t xml:space="preserve">con cui si confermano le stesse indicazioni prescritte da ArpaLazio </w:t>
      </w:r>
      <w:r>
        <w:rPr>
          <w:rFonts w:ascii="Garamond" w:hAnsi="Garamond"/>
          <w:i/>
          <w:sz w:val="28"/>
          <w:szCs w:val="28"/>
        </w:rPr>
        <w:t>“[…] per la realizzazione dell’intera mappa dei piezometri di campionamento. Solamente con un’area di delimitazione ben definita dell’inquinamento delle acque sotterranee si avrà la possibilità di valutare correttamente eventuali ulteriori provvedimenti da prendere a tutela della salute pubblica, oltre alle misure già messe in atto da questo Servizio mediante il campionamento dei pozzi limitrofi</w:t>
      </w:r>
      <w:r>
        <w:rPr>
          <w:rFonts w:ascii="Garamond" w:hAnsi="Garamond"/>
          <w:sz w:val="28"/>
          <w:szCs w:val="28"/>
        </w:rPr>
        <w:t>”;</w:t>
      </w:r>
    </w:p>
    <w:p>
      <w:pPr>
        <w:pStyle w:val="ListParagraph"/>
        <w:numPr>
          <w:ilvl w:val="0"/>
          <w:numId w:val="3"/>
        </w:numPr>
        <w:jc w:val="both"/>
        <w:rPr>
          <w:rFonts w:ascii="Garamond" w:hAnsi="Garamond"/>
          <w:b/>
          <w:b/>
          <w:sz w:val="28"/>
          <w:szCs w:val="28"/>
        </w:rPr>
      </w:pPr>
      <w:r>
        <w:rPr>
          <w:rFonts w:ascii="Garamond" w:hAnsi="Garamond"/>
          <w:b/>
          <w:sz w:val="28"/>
          <w:szCs w:val="28"/>
        </w:rPr>
        <w:t>Parere Parco dei Monti Lucretili, prot. n. 38501 del 22 aprile 2021:</w:t>
      </w:r>
    </w:p>
    <w:p>
      <w:pPr>
        <w:pStyle w:val="ListParagraph"/>
        <w:numPr>
          <w:ilvl w:val="0"/>
          <w:numId w:val="1"/>
        </w:numPr>
        <w:jc w:val="both"/>
        <w:rPr>
          <w:rFonts w:ascii="Garamond" w:hAnsi="Garamond"/>
          <w:sz w:val="28"/>
          <w:szCs w:val="28"/>
        </w:rPr>
      </w:pPr>
      <w:r>
        <w:rPr>
          <w:rFonts w:ascii="Garamond" w:hAnsi="Garamond"/>
          <w:sz w:val="28"/>
          <w:szCs w:val="28"/>
        </w:rPr>
        <w:t>Rimozione di tutte le opere e il ripristino dello stato dei luoghi a carico di Eco Italia 87 al termine della realizzazione dell’impianto di trattamento del percolato;</w:t>
      </w:r>
    </w:p>
    <w:p>
      <w:pPr>
        <w:pStyle w:val="ListParagraph"/>
        <w:numPr>
          <w:ilvl w:val="0"/>
          <w:numId w:val="1"/>
        </w:numPr>
        <w:jc w:val="both"/>
        <w:rPr>
          <w:rFonts w:ascii="Garamond" w:hAnsi="Garamond"/>
          <w:sz w:val="28"/>
          <w:szCs w:val="28"/>
        </w:rPr>
      </w:pPr>
      <w:r>
        <w:rPr>
          <w:rFonts w:ascii="Garamond" w:hAnsi="Garamond"/>
          <w:sz w:val="28"/>
          <w:szCs w:val="28"/>
        </w:rPr>
        <w:t>Riduzione in corso d’opera dell’impatto in atmosfera di tutte le emissioni generate dai mezzi adibiti al trasporto del percolato e dell’acqua “interno polder”;</w:t>
      </w:r>
    </w:p>
    <w:p>
      <w:pPr>
        <w:pStyle w:val="ListParagraph"/>
        <w:numPr>
          <w:ilvl w:val="0"/>
          <w:numId w:val="1"/>
        </w:numPr>
        <w:jc w:val="both"/>
        <w:rPr>
          <w:rFonts w:ascii="Garamond" w:hAnsi="Garamond"/>
          <w:sz w:val="28"/>
          <w:szCs w:val="28"/>
        </w:rPr>
      </w:pPr>
      <w:r>
        <w:rPr>
          <w:rFonts w:ascii="Garamond" w:hAnsi="Garamond"/>
          <w:sz w:val="28"/>
          <w:szCs w:val="28"/>
        </w:rPr>
        <w:t>Comunicazione tempestiva delle modalità di accesso al parco nonché della movimentazione di mezzi e automezzi (ingressi, transiti) al fine di coordinare adeguatamente le attività di vigilanza di competenza del Parco dei Monti Lucretili;</w:t>
      </w:r>
    </w:p>
    <w:p>
      <w:pPr>
        <w:pStyle w:val="ListParagraph"/>
        <w:numPr>
          <w:ilvl w:val="0"/>
          <w:numId w:val="3"/>
        </w:numPr>
        <w:jc w:val="both"/>
        <w:rPr>
          <w:rFonts w:ascii="Garamond" w:hAnsi="Garamond"/>
          <w:b/>
          <w:b/>
          <w:sz w:val="28"/>
          <w:szCs w:val="28"/>
        </w:rPr>
      </w:pPr>
      <w:r>
        <w:rPr>
          <w:rFonts w:ascii="Garamond" w:hAnsi="Garamond"/>
          <w:b/>
          <w:sz w:val="28"/>
          <w:szCs w:val="28"/>
        </w:rPr>
        <w:t>Parere Città Metropolitana di Roma Capitale, prot. n. 34532 del 13 aprile 2021:</w:t>
      </w:r>
    </w:p>
    <w:p>
      <w:pPr>
        <w:pStyle w:val="ListParagraph"/>
        <w:numPr>
          <w:ilvl w:val="0"/>
          <w:numId w:val="1"/>
        </w:numPr>
        <w:jc w:val="both"/>
        <w:rPr>
          <w:rFonts w:ascii="Garamond" w:hAnsi="Garamond"/>
          <w:sz w:val="28"/>
          <w:szCs w:val="28"/>
        </w:rPr>
      </w:pPr>
      <w:r>
        <w:rPr>
          <w:rFonts w:ascii="Garamond" w:hAnsi="Garamond"/>
          <w:sz w:val="28"/>
          <w:szCs w:val="28"/>
        </w:rPr>
        <w:t>Realizzazione in un’unica fase di undici postazioni aggiuntive (PC1 a PC11);</w:t>
      </w:r>
    </w:p>
    <w:p>
      <w:pPr>
        <w:pStyle w:val="ListParagraph"/>
        <w:numPr>
          <w:ilvl w:val="0"/>
          <w:numId w:val="1"/>
        </w:numPr>
        <w:jc w:val="both"/>
        <w:rPr>
          <w:rFonts w:ascii="Garamond" w:hAnsi="Garamond"/>
          <w:sz w:val="28"/>
          <w:szCs w:val="28"/>
        </w:rPr>
      </w:pPr>
      <w:r>
        <w:rPr>
          <w:rFonts w:ascii="Garamond" w:hAnsi="Garamond"/>
          <w:sz w:val="28"/>
          <w:szCs w:val="28"/>
        </w:rPr>
        <w:t>Trasmissione dei risultati delle campagne di monitoraggio e delle tabelle riepilogative complete, volte a individuare le criticità e le lacune delle indagini.</w:t>
      </w:r>
    </w:p>
    <w:p>
      <w:pPr>
        <w:pStyle w:val="Normal"/>
        <w:jc w:val="both"/>
        <w:rPr>
          <w:rFonts w:ascii="Garamond" w:hAnsi="Garamond"/>
          <w:sz w:val="28"/>
          <w:szCs w:val="28"/>
        </w:rPr>
      </w:pPr>
      <w:r>
        <w:rPr>
          <w:rFonts w:ascii="Garamond" w:hAnsi="Garamond"/>
          <w:b/>
          <w:sz w:val="28"/>
          <w:szCs w:val="28"/>
        </w:rPr>
        <w:t>di ritenere</w:t>
      </w:r>
      <w:r>
        <w:rPr>
          <w:rFonts w:ascii="Garamond" w:hAnsi="Garamond"/>
          <w:sz w:val="28"/>
          <w:szCs w:val="28"/>
        </w:rPr>
        <w:t xml:space="preserve"> Acquisito il parere favorevole da parte delle seguenti Autorità Competenti, per </w:t>
      </w:r>
      <w:r>
        <w:rPr>
          <w:rFonts w:cs="Krub" w:ascii="Garamond" w:hAnsi="Garamond"/>
          <w:color w:val="000000"/>
          <w:sz w:val="28"/>
          <w:szCs w:val="28"/>
          <w:shd w:fill="FCFCFC" w:val="clear"/>
        </w:rPr>
        <w:t>la mancata comunicazione delle determinazioni, da adottare, entro il termine previsto e più volte ribadito durante le sedute dall’Autorità procedente, rammentando la relativa importanza, </w:t>
      </w:r>
      <w:r>
        <w:rPr>
          <w:rStyle w:val="Strong"/>
          <w:rFonts w:cs="Krub" w:ascii="Garamond" w:hAnsi="Garamond"/>
          <w:color w:val="000000"/>
          <w:sz w:val="28"/>
          <w:szCs w:val="28"/>
          <w:shd w:fill="FCFCFC" w:val="clear"/>
        </w:rPr>
        <w:t>ritendendo, il silenzio, assenso senza condizioni</w:t>
      </w:r>
      <w:r>
        <w:rPr>
          <w:rFonts w:ascii="Garamond" w:hAnsi="Garamond"/>
          <w:sz w:val="28"/>
          <w:szCs w:val="28"/>
        </w:rPr>
        <w:t>:</w:t>
      </w:r>
    </w:p>
    <w:p>
      <w:pPr>
        <w:pStyle w:val="ListParagraph"/>
        <w:numPr>
          <w:ilvl w:val="0"/>
          <w:numId w:val="1"/>
        </w:numPr>
        <w:jc w:val="both"/>
        <w:rPr>
          <w:rFonts w:ascii="Garamond" w:hAnsi="Garamond"/>
          <w:sz w:val="28"/>
          <w:szCs w:val="28"/>
        </w:rPr>
      </w:pPr>
      <w:r>
        <w:rPr>
          <w:rFonts w:ascii="Garamond" w:hAnsi="Garamond"/>
          <w:sz w:val="28"/>
          <w:szCs w:val="28"/>
        </w:rPr>
        <w:t>Area IV Urbanistica ed Edilizia Privata del Comune di Guidonia Montecelio (RM);</w:t>
      </w:r>
    </w:p>
    <w:p>
      <w:pPr>
        <w:pStyle w:val="ListParagraph"/>
        <w:numPr>
          <w:ilvl w:val="0"/>
          <w:numId w:val="1"/>
        </w:numPr>
        <w:jc w:val="both"/>
        <w:rPr>
          <w:rFonts w:ascii="Garamond" w:hAnsi="Garamond"/>
          <w:sz w:val="28"/>
          <w:szCs w:val="28"/>
        </w:rPr>
      </w:pPr>
      <w:r>
        <w:rPr>
          <w:rFonts w:ascii="Garamond" w:hAnsi="Garamond"/>
          <w:sz w:val="28"/>
          <w:szCs w:val="28"/>
        </w:rPr>
        <w:t>Autorità di Bacino del Fiume Tevere;</w:t>
      </w:r>
    </w:p>
    <w:p>
      <w:pPr>
        <w:pStyle w:val="Normal"/>
        <w:jc w:val="both"/>
        <w:rPr>
          <w:rFonts w:ascii="Garamond" w:hAnsi="Garamond"/>
          <w:sz w:val="28"/>
          <w:szCs w:val="28"/>
        </w:rPr>
      </w:pPr>
      <w:r>
        <w:rPr>
          <w:rFonts w:ascii="Garamond" w:hAnsi="Garamond"/>
          <w:b/>
          <w:bCs/>
          <w:sz w:val="28"/>
          <w:szCs w:val="28"/>
        </w:rPr>
        <w:t>di ritenere</w:t>
      </w:r>
      <w:r>
        <w:rPr>
          <w:rFonts w:ascii="Garamond" w:hAnsi="Garamond"/>
          <w:sz w:val="28"/>
          <w:szCs w:val="28"/>
        </w:rPr>
        <w:t xml:space="preserve"> Acquisito il parere favorevole della Soprintendenza per i beni archeologici e paesaggistici, la quale ha reso il proprio parere favorevole con prescrizione, rilevabile dal medesimo verbale, del 20 aprile 2021, allegato agli atti della conferenza di servizi e nel merito </w:t>
      </w:r>
      <w:r>
        <w:rPr>
          <w:rFonts w:ascii="Garamond" w:hAnsi="Garamond"/>
          <w:sz w:val="28"/>
          <w:szCs w:val="28"/>
          <w:u w:val="single"/>
        </w:rPr>
        <w:t xml:space="preserve">prima delle perforazioni </w:t>
      </w:r>
      <w:r>
        <w:rPr>
          <w:rFonts w:ascii="Garamond" w:hAnsi="Garamond"/>
          <w:sz w:val="28"/>
          <w:szCs w:val="28"/>
          <w:u w:val="single"/>
        </w:rPr>
        <w:t xml:space="preserve">o durante le medesime </w:t>
      </w:r>
      <w:r>
        <w:rPr>
          <w:rFonts w:ascii="Garamond" w:hAnsi="Garamond"/>
          <w:sz w:val="28"/>
          <w:szCs w:val="28"/>
          <w:u w:val="single"/>
        </w:rPr>
        <w:t xml:space="preserve">devono essere espletate le indagini archeologiche con la supervisione </w:t>
      </w:r>
      <w:r>
        <w:rPr>
          <w:rFonts w:ascii="Garamond" w:hAnsi="Garamond"/>
          <w:sz w:val="28"/>
          <w:szCs w:val="28"/>
          <w:u w:val="single"/>
        </w:rPr>
        <w:t xml:space="preserve">continua </w:t>
      </w:r>
      <w:r>
        <w:rPr>
          <w:rFonts w:ascii="Garamond" w:hAnsi="Garamond"/>
          <w:sz w:val="28"/>
          <w:szCs w:val="28"/>
          <w:u w:val="single"/>
        </w:rPr>
        <w:t>di un archeologo, il cui curriculum e il progetto dovrà essere preventivamente sottoposto, dal medesimo archeologo, all’approvazione del soprintendente Archeologo competente per Territorio (tutte le spese sono a carico del proponente la conferenza di servizi);</w:t>
      </w:r>
    </w:p>
    <w:p>
      <w:pPr>
        <w:pStyle w:val="Normal"/>
        <w:jc w:val="both"/>
        <w:rPr>
          <w:rFonts w:ascii="Garamond" w:hAnsi="Garamond"/>
          <w:sz w:val="28"/>
          <w:szCs w:val="28"/>
          <w:u w:val="single"/>
        </w:rPr>
      </w:pPr>
      <w:r>
        <w:rPr>
          <w:rFonts w:ascii="Garamond" w:hAnsi="Garamond"/>
          <w:b/>
          <w:bCs/>
          <w:sz w:val="28"/>
          <w:szCs w:val="28"/>
          <w:u w:val="single"/>
        </w:rPr>
        <w:t>di adottare</w:t>
      </w:r>
      <w:r>
        <w:rPr>
          <w:rFonts w:ascii="Garamond" w:hAnsi="Garamond"/>
          <w:sz w:val="28"/>
          <w:szCs w:val="28"/>
          <w:u w:val="single"/>
        </w:rPr>
        <w:t xml:space="preserve"> la determinazione di conclusione positiva della conferenza di servizi ex art.14-bis comma 5 e art. 14-quater della L. n. 241/1990 che sostituisce ad ogni effetto tutti gli atti di assenso, comunque denominati, di competenza delle amministrazioni interessate;</w:t>
      </w:r>
    </w:p>
    <w:p>
      <w:pPr>
        <w:pStyle w:val="Normal"/>
        <w:jc w:val="both"/>
        <w:rPr>
          <w:rFonts w:ascii="Garamond" w:hAnsi="Garamond"/>
          <w:sz w:val="28"/>
          <w:szCs w:val="28"/>
        </w:rPr>
      </w:pPr>
      <w:r>
        <w:rPr>
          <w:rFonts w:ascii="Garamond" w:hAnsi="Garamond"/>
          <w:b/>
          <w:bCs/>
          <w:sz w:val="28"/>
          <w:szCs w:val="28"/>
        </w:rPr>
        <w:t>di dare atto</w:t>
      </w:r>
      <w:r>
        <w:rPr>
          <w:rFonts w:ascii="Garamond" w:hAnsi="Garamond"/>
          <w:sz w:val="28"/>
          <w:szCs w:val="28"/>
        </w:rPr>
        <w:t xml:space="preserve"> che la determinazione è immediatamente efficace, ai sensi dell'art. 14-quater comma 3 della Legge n. 241/1990 in quanto le prescrizioni indicate nei pareri allegati ai verbali della conferenza dei servizi, comunque, non comportano modifiche sostanziali al progetto;</w:t>
      </w:r>
    </w:p>
    <w:p>
      <w:pPr>
        <w:pStyle w:val="Normal"/>
        <w:jc w:val="both"/>
        <w:rPr>
          <w:rFonts w:ascii="Garamond" w:hAnsi="Garamond"/>
          <w:sz w:val="28"/>
          <w:szCs w:val="28"/>
        </w:rPr>
      </w:pPr>
      <w:r>
        <w:rPr>
          <w:rFonts w:ascii="Garamond" w:hAnsi="Garamond"/>
          <w:b/>
          <w:bCs/>
          <w:sz w:val="28"/>
          <w:szCs w:val="28"/>
        </w:rPr>
        <w:t>di dare atto che</w:t>
      </w:r>
      <w:r>
        <w:rPr>
          <w:rFonts w:ascii="Garamond" w:hAnsi="Garamond"/>
          <w:sz w:val="28"/>
          <w:szCs w:val="28"/>
        </w:rPr>
        <w:t xml:space="preserve"> ai sensi dell'art. 14-quater comma 4 i termini di efficacia di tutti i pareri, autorizzazioni, concessioni, nulla osta o atti di assenso comunque denominati acquisiti nell'ambito della conferenza di servizi decorrono dalla data della comunicazione della determinazione motivata di conclusione della conferenza;</w:t>
      </w:r>
    </w:p>
    <w:p>
      <w:pPr>
        <w:pStyle w:val="Normal"/>
        <w:jc w:val="both"/>
        <w:rPr>
          <w:rFonts w:ascii="Garamond" w:hAnsi="Garamond"/>
          <w:sz w:val="28"/>
          <w:szCs w:val="28"/>
        </w:rPr>
      </w:pPr>
      <w:r>
        <w:rPr>
          <w:rFonts w:ascii="Garamond" w:hAnsi="Garamond"/>
          <w:b/>
          <w:bCs/>
          <w:sz w:val="28"/>
          <w:szCs w:val="28"/>
        </w:rPr>
        <w:t>di disporre</w:t>
      </w:r>
      <w:r>
        <w:rPr>
          <w:rFonts w:ascii="Garamond" w:hAnsi="Garamond"/>
          <w:sz w:val="28"/>
          <w:szCs w:val="28"/>
        </w:rPr>
        <w:t xml:space="preserve"> che tutta la documentazione della conferenza di servizi sia conservata agli atti d’Ufficio;</w:t>
      </w:r>
    </w:p>
    <w:p>
      <w:pPr>
        <w:pStyle w:val="Normal"/>
        <w:jc w:val="both"/>
        <w:rPr>
          <w:rFonts w:ascii="Garamond" w:hAnsi="Garamond"/>
          <w:sz w:val="28"/>
          <w:szCs w:val="28"/>
        </w:rPr>
      </w:pPr>
      <w:r>
        <w:rPr>
          <w:rFonts w:ascii="Garamond" w:hAnsi="Garamond"/>
          <w:b/>
          <w:bCs/>
          <w:sz w:val="28"/>
          <w:szCs w:val="28"/>
        </w:rPr>
        <w:t>di dare atto</w:t>
      </w:r>
      <w:r>
        <w:rPr>
          <w:rFonts w:ascii="Garamond" w:hAnsi="Garamond"/>
          <w:sz w:val="28"/>
          <w:szCs w:val="28"/>
        </w:rPr>
        <w:t xml:space="preserve"> che avverso il presente atto è ammesso ricorso davanti al Tribunale Amministrativo Regionale entro 60 giorni dalla notifica del presente atto ovvero ricorso straordinario al Capo dello Stato entro 120 giorni; </w:t>
      </w:r>
    </w:p>
    <w:p>
      <w:pPr>
        <w:pStyle w:val="Normal"/>
        <w:jc w:val="both"/>
        <w:rPr>
          <w:rFonts w:ascii="Garamond" w:hAnsi="Garamond"/>
          <w:sz w:val="28"/>
          <w:szCs w:val="28"/>
        </w:rPr>
      </w:pPr>
      <w:r>
        <w:rPr>
          <w:rFonts w:ascii="Garamond" w:hAnsi="Garamond"/>
          <w:b/>
          <w:bCs/>
          <w:sz w:val="28"/>
          <w:szCs w:val="28"/>
        </w:rPr>
        <w:t>di dare atto</w:t>
      </w:r>
      <w:r>
        <w:rPr>
          <w:rFonts w:ascii="Garamond" w:hAnsi="Garamond"/>
          <w:sz w:val="28"/>
          <w:szCs w:val="28"/>
        </w:rPr>
        <w:t xml:space="preserve"> che sul contenuto del presente provvedimento è stato espresso parere tecnico favorevole da parte del Dirigente Responsabile ai sensi dell'art. 147 bis D. Lgs. 18.08.2000 n. 267 e art. 8 del “Regolamento del sistema integrato dei controlli interni”;</w:t>
      </w:r>
    </w:p>
    <w:p>
      <w:pPr>
        <w:pStyle w:val="Normal"/>
        <w:jc w:val="both"/>
        <w:rPr>
          <w:rFonts w:ascii="Garamond" w:hAnsi="Garamond"/>
          <w:sz w:val="28"/>
          <w:szCs w:val="28"/>
        </w:rPr>
      </w:pPr>
      <w:r>
        <w:rPr>
          <w:rFonts w:ascii="Garamond" w:hAnsi="Garamond"/>
          <w:b/>
          <w:bCs/>
          <w:sz w:val="28"/>
          <w:szCs w:val="28"/>
        </w:rPr>
        <w:t>di dare atto</w:t>
      </w:r>
      <w:r>
        <w:rPr>
          <w:rFonts w:ascii="Garamond" w:hAnsi="Garamond"/>
          <w:sz w:val="28"/>
          <w:szCs w:val="28"/>
        </w:rPr>
        <w:t xml:space="preserve"> che il presente provvedimento non comporta alcun onere a carico del bilancio Comunale;</w:t>
      </w:r>
    </w:p>
    <w:p>
      <w:pPr>
        <w:pStyle w:val="Normal"/>
        <w:jc w:val="both"/>
        <w:rPr>
          <w:rFonts w:ascii="Garamond" w:hAnsi="Garamond"/>
          <w:sz w:val="28"/>
          <w:szCs w:val="28"/>
        </w:rPr>
      </w:pPr>
      <w:r>
        <w:rPr>
          <w:rFonts w:ascii="Garamond" w:hAnsi="Garamond"/>
          <w:b/>
          <w:sz w:val="28"/>
          <w:szCs w:val="28"/>
        </w:rPr>
        <w:t>di dare atto</w:t>
      </w:r>
      <w:r>
        <w:rPr>
          <w:rFonts w:ascii="Garamond" w:hAnsi="Garamond"/>
          <w:sz w:val="28"/>
          <w:szCs w:val="28"/>
        </w:rPr>
        <w:t xml:space="preserve"> che costituiscono parte integrante del presente atto il verbale di conferenza di servizi del 20/04/2021 e i relativi pareri resi dagli Enti partecipanti;</w:t>
      </w:r>
    </w:p>
    <w:p>
      <w:pPr>
        <w:pStyle w:val="Normal"/>
        <w:jc w:val="both"/>
        <w:rPr>
          <w:rFonts w:ascii="Garamond" w:hAnsi="Garamond"/>
          <w:sz w:val="28"/>
          <w:szCs w:val="28"/>
        </w:rPr>
      </w:pPr>
      <w:r>
        <w:rPr>
          <w:rFonts w:ascii="Garamond" w:hAnsi="Garamond"/>
          <w:b/>
          <w:sz w:val="28"/>
          <w:szCs w:val="28"/>
        </w:rPr>
        <w:t>di disporre</w:t>
      </w:r>
      <w:r>
        <w:rPr>
          <w:rFonts w:ascii="Garamond" w:hAnsi="Garamond"/>
          <w:sz w:val="28"/>
          <w:szCs w:val="28"/>
        </w:rPr>
        <w:t xml:space="preserve"> che copia della presente determinazione e degli allegati sia trasmessa telematicamente a tutte le Amministrazioni coinvolte, al proponente e pubblicata sul sito e all’albo del Comune di Guidonia Montecelio.</w:t>
      </w:r>
    </w:p>
    <w:p>
      <w:pPr>
        <w:pStyle w:val="Normal"/>
        <w:spacing w:before="0" w:after="160"/>
        <w:jc w:val="both"/>
        <w:rPr>
          <w:rFonts w:ascii="Garamond" w:hAnsi="Garamond"/>
          <w:sz w:val="28"/>
          <w:szCs w:val="28"/>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aramond">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unhideWhenUsed/>
    <w:rsid w:val="00183315"/>
    <w:rPr>
      <w:color w:val="0563C1" w:themeColor="hyperlink"/>
      <w:u w:val="single"/>
    </w:rPr>
  </w:style>
  <w:style w:type="character" w:styleId="UnresolvedMention" w:customStyle="1">
    <w:name w:val="Unresolved Mention"/>
    <w:basedOn w:val="DefaultParagraphFont"/>
    <w:uiPriority w:val="99"/>
    <w:semiHidden/>
    <w:unhideWhenUsed/>
    <w:qFormat/>
    <w:rsid w:val="00183315"/>
    <w:rPr>
      <w:color w:val="605E5C"/>
      <w:shd w:fill="E1DFDD" w:val="clear"/>
    </w:rPr>
  </w:style>
  <w:style w:type="character" w:styleId="Strong">
    <w:name w:val="Strong"/>
    <w:basedOn w:val="DefaultParagraphFont"/>
    <w:uiPriority w:val="22"/>
    <w:qFormat/>
    <w:rsid w:val="002a5a4b"/>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0b7098"/>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LibreOffice/7.0.4.2$Windows_X86_64 LibreOffice_project/dcf040e67528d9187c66b2379df5ea4407429775</Application>
  <AppVersion>15.0000</AppVersion>
  <Pages>5</Pages>
  <Words>1668</Words>
  <Characters>9940</Characters>
  <CharactersWithSpaces>11525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2021-06-16T15:40:00Z</dcterms:created>
  <dc:creator>egidio santamaria</dc:creator>
  <dc:description/>
  <dc:language>it-IT</dc:language>
  <cp:lastModifiedBy/>
  <dcterms:modified xsi:type="dcterms:W3CDTF">2021-06-24T12:33:04Z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